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sz w:val="32"/>
          <w:szCs w:val="32"/>
        </w:rPr>
      </w:pPr>
    </w:p>
    <w:p>
      <w:pPr>
        <w:spacing w:line="520" w:lineRule="exact"/>
        <w:jc w:val="center"/>
        <w:rPr>
          <w:rFonts w:ascii="宋体"/>
          <w:b/>
          <w:sz w:val="32"/>
          <w:szCs w:val="32"/>
        </w:rPr>
      </w:pPr>
      <w:r>
        <w:rPr>
          <w:rFonts w:hint="eastAsia" w:ascii="宋体" w:hAnsi="宋体"/>
          <w:b/>
          <w:sz w:val="32"/>
          <w:szCs w:val="32"/>
        </w:rPr>
        <w:t>南昌大学软件学院</w:t>
      </w:r>
      <w:r>
        <w:rPr>
          <w:rFonts w:ascii="宋体" w:hAnsi="宋体"/>
          <w:b/>
          <w:sz w:val="32"/>
          <w:szCs w:val="32"/>
        </w:rPr>
        <w:t>20</w:t>
      </w:r>
      <w:r>
        <w:rPr>
          <w:rFonts w:hint="eastAsia" w:ascii="宋体" w:hAnsi="宋体"/>
          <w:b/>
          <w:sz w:val="32"/>
          <w:szCs w:val="32"/>
        </w:rPr>
        <w:t>22年人才招聘</w:t>
      </w:r>
    </w:p>
    <w:p>
      <w:pPr>
        <w:spacing w:line="400" w:lineRule="exact"/>
        <w:ind w:firstLine="480" w:firstLineChars="200"/>
        <w:rPr>
          <w:rFonts w:ascii="宋体" w:hAnsi="宋体"/>
          <w:sz w:val="24"/>
          <w:szCs w:val="24"/>
        </w:rPr>
      </w:pP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南昌大学软件学院（以下简称学院）成立于2002年6月，是</w:t>
      </w:r>
      <w:r>
        <w:rPr>
          <w:rFonts w:hint="eastAsia" w:ascii="宋体" w:hAnsi="宋体" w:cs="宋体"/>
          <w:kern w:val="0"/>
          <w:sz w:val="24"/>
        </w:rPr>
        <w:t>江西省首批示范性软件学院，是国家示范性软件学院联盟成员、中国网络空间安全人才教育联盟会员单位。</w:t>
      </w:r>
      <w:r>
        <w:rPr>
          <w:rFonts w:hint="eastAsia" w:ascii="宋体" w:hAnsi="宋体" w:cs="宋体"/>
          <w:kern w:val="0"/>
          <w:sz w:val="24"/>
          <w:szCs w:val="24"/>
        </w:rPr>
        <w:t>学院地处青山湖校区，该校区历史悠久，环境优美，学风优良，学术氛围浓厚。</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学院目前拥有</w:t>
      </w:r>
      <w:r>
        <w:rPr>
          <w:rFonts w:hint="eastAsia" w:ascii="宋体" w:hAnsi="宋体" w:cs="宋体"/>
          <w:kern w:val="0"/>
          <w:sz w:val="24"/>
        </w:rPr>
        <w:t>网络空间安全一级学科硕士点（省内首个）和软件工程专业硕士点，拥有软件工程国家一流本科专业建设点、网络空间安全省级一流本科专业建设点，其中软件工程专业</w:t>
      </w:r>
      <w:r>
        <w:rPr>
          <w:rFonts w:hint="eastAsia" w:ascii="宋体" w:hAnsi="宋体" w:cs="宋体"/>
          <w:kern w:val="0"/>
          <w:sz w:val="24"/>
          <w:szCs w:val="24"/>
        </w:rPr>
        <w:t>是</w:t>
      </w:r>
      <w:r>
        <w:rPr>
          <w:rFonts w:hint="eastAsia" w:ascii="宋体" w:hAnsi="宋体" w:cs="宋体"/>
          <w:kern w:val="0"/>
          <w:sz w:val="24"/>
        </w:rPr>
        <w:t>国家级特色专业；拥有江西省网络空间与信息安全重点实验室，部级信息安全取证中心1个。学院现有教职工9</w:t>
      </w:r>
      <w:r>
        <w:rPr>
          <w:rFonts w:ascii="宋体" w:hAnsi="宋体" w:cs="宋体"/>
          <w:kern w:val="0"/>
          <w:sz w:val="24"/>
        </w:rPr>
        <w:t>9</w:t>
      </w:r>
      <w:r>
        <w:rPr>
          <w:rFonts w:hint="eastAsia" w:ascii="宋体" w:hAnsi="宋体" w:cs="宋体"/>
          <w:kern w:val="0"/>
          <w:sz w:val="24"/>
        </w:rPr>
        <w:t>人，在校</w:t>
      </w:r>
      <w:r>
        <w:rPr>
          <w:rFonts w:hint="eastAsia" w:ascii="宋体" w:hAnsi="宋体" w:cs="宋体"/>
          <w:kern w:val="0"/>
          <w:sz w:val="24"/>
          <w:szCs w:val="24"/>
        </w:rPr>
        <w:t>本硕博学生2200余人，已形成科教协同、产教融合的特色高端复合型软件人才的培养模式。</w:t>
      </w:r>
    </w:p>
    <w:p>
      <w:pPr>
        <w:spacing w:line="480" w:lineRule="exact"/>
        <w:ind w:firstLine="480" w:firstLineChars="200"/>
        <w:rPr>
          <w:rFonts w:ascii="宋体" w:hAnsi="宋体" w:cs="宋体"/>
          <w:kern w:val="0"/>
          <w:sz w:val="24"/>
          <w:szCs w:val="24"/>
        </w:rPr>
      </w:pPr>
      <w:r>
        <w:rPr>
          <w:rFonts w:ascii="宋体" w:hAnsi="宋体" w:cs="宋体"/>
          <w:kern w:val="0"/>
          <w:sz w:val="24"/>
        </w:rPr>
        <w:t>学</w:t>
      </w:r>
      <w:r>
        <w:rPr>
          <w:rFonts w:ascii="宋体" w:hAnsi="宋体" w:cs="宋体"/>
          <w:kern w:val="0"/>
          <w:sz w:val="24"/>
          <w:szCs w:val="24"/>
        </w:rPr>
        <w:t>院</w:t>
      </w:r>
      <w:r>
        <w:rPr>
          <w:rFonts w:hint="eastAsia" w:ascii="宋体" w:hAnsi="宋体" w:cs="宋体"/>
          <w:kern w:val="0"/>
          <w:sz w:val="24"/>
          <w:szCs w:val="24"/>
        </w:rPr>
        <w:t>按照国家示范性软件学院的办学机制，重视师资队伍建设，学院</w:t>
      </w:r>
      <w:r>
        <w:rPr>
          <w:rFonts w:ascii="宋体" w:hAnsi="宋体" w:cs="宋体"/>
          <w:kern w:val="0"/>
          <w:sz w:val="24"/>
          <w:szCs w:val="24"/>
        </w:rPr>
        <w:t>拥有一支教学经验丰富、学术水平高</w:t>
      </w:r>
      <w:r>
        <w:rPr>
          <w:rFonts w:hint="eastAsia" w:ascii="宋体" w:hAnsi="宋体" w:cs="宋体"/>
          <w:kern w:val="0"/>
          <w:sz w:val="24"/>
          <w:szCs w:val="24"/>
        </w:rPr>
        <w:t>、专兼职结合</w:t>
      </w:r>
      <w:r>
        <w:rPr>
          <w:rFonts w:ascii="宋体" w:hAnsi="宋体" w:cs="宋体"/>
          <w:kern w:val="0"/>
          <w:sz w:val="24"/>
          <w:szCs w:val="24"/>
        </w:rPr>
        <w:t>的教学科研队伍</w:t>
      </w:r>
      <w:r>
        <w:rPr>
          <w:rFonts w:hint="eastAsia" w:ascii="宋体" w:hAnsi="宋体" w:cs="宋体"/>
          <w:kern w:val="0"/>
          <w:sz w:val="24"/>
          <w:szCs w:val="24"/>
        </w:rPr>
        <w:t>，获</w:t>
      </w:r>
      <w:r>
        <w:rPr>
          <w:rFonts w:hint="eastAsia"/>
          <w:sz w:val="24"/>
        </w:rPr>
        <w:t>省级以上人才称号获得者10余人，专任教师</w:t>
      </w:r>
      <w:r>
        <w:rPr>
          <w:rFonts w:hint="eastAsia" w:ascii="宋体" w:hAnsi="宋体" w:cs="宋体"/>
          <w:kern w:val="0"/>
          <w:sz w:val="24"/>
          <w:szCs w:val="24"/>
        </w:rPr>
        <w:t>副教授以上职称占61.3%，博士占54.8%。近年来，学院主持各类科研项目120余项，项目进账总经费3000余万元；先后获批专利、软件著作权50余项；发表高水平论文100余篇；多次荣获江西省科技进步奖、江西省自然科学奖等荣誉。学院积极开展社会服务，先后与江西省考试院、江西省扶贫办公室等单位签订多个重大社会服务合同，成果转化效果良好；学院有近10位老师任江西省政府的重要战略领域的关键专家，服务江西省地方经济取得良好成效。</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学院以“立德树人，协同育人，实践育人，创新育人”为办学理念，逐步建立了产学研用协同育人模式、国际化教学、专业融合模式等办学特色。学院十分重视合作与交流，先后与某部、中科院、绿盟、科大讯飞等政府机构和业内知名企业共建各类专业实验室联合培养人才，与东软集团、恒生电子、华勤技术等共建实习基地30余个，校企合作培养软件人才。学院还与美国、爱尔兰、日本、澳大利亚等国家和台湾地区的高校建立了稳定的合作关系，开展了“3+1”、“1+1”、交流实训等多层次、多渠道的交流与合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2018年3月，南昌大学成立网络空间安全学院，挂靠软件学院。进入新时期，学院将致力于办学机制、人才培养模式、课程体系的改革和建设，</w:t>
      </w:r>
      <w:r>
        <w:rPr>
          <w:rFonts w:ascii="宋体" w:hAnsi="宋体" w:cs="宋体"/>
          <w:kern w:val="0"/>
          <w:sz w:val="24"/>
          <w:szCs w:val="24"/>
        </w:rPr>
        <w:t>以</w:t>
      </w:r>
      <w:r>
        <w:rPr>
          <w:rFonts w:hint="eastAsia" w:ascii="宋体" w:hAnsi="宋体" w:cs="宋体"/>
          <w:kern w:val="0"/>
          <w:sz w:val="24"/>
          <w:szCs w:val="24"/>
        </w:rPr>
        <w:t xml:space="preserve"> “部省合建和双一流</w:t>
      </w:r>
      <w:r>
        <w:rPr>
          <w:rFonts w:ascii="宋体" w:hAnsi="宋体" w:cs="宋体"/>
          <w:kern w:val="0"/>
          <w:sz w:val="24"/>
          <w:szCs w:val="24"/>
        </w:rPr>
        <w:t>建设</w:t>
      </w:r>
      <w:r>
        <w:rPr>
          <w:rFonts w:hint="eastAsia" w:ascii="宋体" w:hAnsi="宋体" w:cs="宋体"/>
          <w:kern w:val="0"/>
          <w:sz w:val="24"/>
          <w:szCs w:val="24"/>
        </w:rPr>
        <w:t>”</w:t>
      </w:r>
      <w:r>
        <w:rPr>
          <w:rFonts w:ascii="宋体" w:hAnsi="宋体" w:cs="宋体"/>
          <w:kern w:val="0"/>
          <w:sz w:val="24"/>
          <w:szCs w:val="24"/>
        </w:rPr>
        <w:t>为契机，规划全新的发展蓝图，力争逐步建成</w:t>
      </w:r>
      <w:r>
        <w:rPr>
          <w:rFonts w:hint="eastAsia" w:ascii="宋体" w:hAnsi="宋体" w:cs="宋体"/>
          <w:kern w:val="0"/>
          <w:sz w:val="24"/>
          <w:szCs w:val="24"/>
        </w:rPr>
        <w:t>质量优良、</w:t>
      </w:r>
      <w:r>
        <w:rPr>
          <w:rFonts w:ascii="宋体" w:hAnsi="宋体" w:cs="宋体"/>
          <w:kern w:val="0"/>
          <w:sz w:val="24"/>
          <w:szCs w:val="24"/>
        </w:rPr>
        <w:t>规模适度</w:t>
      </w:r>
      <w:r>
        <w:rPr>
          <w:rFonts w:hint="eastAsia" w:ascii="宋体" w:hAnsi="宋体" w:cs="宋体"/>
          <w:kern w:val="0"/>
          <w:sz w:val="24"/>
          <w:szCs w:val="24"/>
        </w:rPr>
        <w:t>、</w:t>
      </w:r>
      <w:r>
        <w:rPr>
          <w:rFonts w:ascii="宋体" w:hAnsi="宋体" w:cs="宋体"/>
          <w:kern w:val="0"/>
          <w:sz w:val="24"/>
          <w:szCs w:val="24"/>
        </w:rPr>
        <w:t>特色鲜明的软件学院，</w:t>
      </w:r>
      <w:r>
        <w:rPr>
          <w:rFonts w:hint="eastAsia" w:ascii="宋体" w:hAnsi="宋体" w:cs="宋体"/>
          <w:kern w:val="0"/>
          <w:sz w:val="24"/>
          <w:szCs w:val="24"/>
        </w:rPr>
        <w:t>奋力开启新时代高水平学院新征程。</w:t>
      </w:r>
    </w:p>
    <w:p>
      <w:pPr>
        <w:spacing w:line="480" w:lineRule="exact"/>
        <w:ind w:firstLine="480" w:firstLineChars="200"/>
        <w:rPr>
          <w:rFonts w:ascii="宋体" w:hAnsi="宋体"/>
          <w:sz w:val="24"/>
          <w:szCs w:val="24"/>
        </w:rPr>
      </w:pPr>
      <w:r>
        <w:rPr>
          <w:rFonts w:hint="eastAsia" w:ascii="宋体" w:hAnsi="宋体"/>
          <w:sz w:val="24"/>
          <w:szCs w:val="24"/>
        </w:rPr>
        <w:t>学院地址：南昌大学软件学院（南昌大学青山湖北区，江西省南昌市南京东路</w:t>
      </w:r>
      <w:r>
        <w:rPr>
          <w:rFonts w:ascii="宋体" w:hAnsi="宋体"/>
          <w:sz w:val="24"/>
          <w:szCs w:val="24"/>
        </w:rPr>
        <w:t>235</w:t>
      </w:r>
      <w:r>
        <w:rPr>
          <w:rFonts w:hint="eastAsia" w:ascii="宋体" w:hAnsi="宋体"/>
          <w:sz w:val="24"/>
          <w:szCs w:val="24"/>
        </w:rPr>
        <w:t>号</w:t>
      </w:r>
      <w:r>
        <w:rPr>
          <w:rFonts w:ascii="宋体" w:hAnsi="宋体"/>
          <w:sz w:val="24"/>
          <w:szCs w:val="24"/>
        </w:rPr>
        <w:t>）</w:t>
      </w:r>
    </w:p>
    <w:p>
      <w:pPr>
        <w:spacing w:line="480" w:lineRule="exact"/>
        <w:ind w:firstLine="480" w:firstLineChars="200"/>
      </w:pPr>
      <w:r>
        <w:rPr>
          <w:rFonts w:hint="eastAsia" w:ascii="宋体" w:hAnsi="宋体"/>
          <w:sz w:val="24"/>
          <w:szCs w:val="24"/>
        </w:rPr>
        <w:t>学院网站：</w:t>
      </w:r>
      <w:r>
        <w:fldChar w:fldCharType="begin"/>
      </w:r>
      <w:r>
        <w:instrText xml:space="preserve"> HYPERLINK "http://soft.ncu.edu.cn" </w:instrText>
      </w:r>
      <w:r>
        <w:fldChar w:fldCharType="separate"/>
      </w:r>
      <w:r>
        <w:rPr>
          <w:rStyle w:val="9"/>
          <w:rFonts w:ascii="宋体" w:hAnsi="宋体"/>
          <w:sz w:val="24"/>
          <w:szCs w:val="24"/>
          <w:u w:val="none"/>
        </w:rPr>
        <w:t>http://soft.</w:t>
      </w:r>
      <w:r>
        <w:rPr>
          <w:rStyle w:val="9"/>
          <w:rFonts w:hint="eastAsia" w:ascii="宋体" w:hAnsi="宋体"/>
          <w:sz w:val="24"/>
          <w:szCs w:val="24"/>
          <w:u w:val="none"/>
        </w:rPr>
        <w:t>ncu.edu.cn</w:t>
      </w:r>
      <w:r>
        <w:rPr>
          <w:rStyle w:val="9"/>
          <w:rFonts w:hint="eastAsia" w:ascii="宋体" w:hAnsi="宋体"/>
          <w:sz w:val="24"/>
          <w:szCs w:val="24"/>
          <w:u w:val="none"/>
        </w:rPr>
        <w:fldChar w:fldCharType="end"/>
      </w:r>
    </w:p>
    <w:p>
      <w:pPr>
        <w:spacing w:line="480" w:lineRule="exact"/>
        <w:ind w:firstLine="480" w:firstLineChars="200"/>
        <w:rPr>
          <w:rFonts w:ascii="宋体" w:hAnsi="宋体" w:cs="宋体"/>
          <w:kern w:val="0"/>
          <w:sz w:val="24"/>
          <w:szCs w:val="24"/>
        </w:rPr>
      </w:pPr>
      <w:r>
        <w:rPr>
          <w:rFonts w:hint="eastAsia" w:ascii="宋体" w:hAnsi="宋体"/>
          <w:sz w:val="24"/>
          <w:szCs w:val="24"/>
        </w:rPr>
        <w:t>应聘联系人：张</w:t>
      </w:r>
      <w:r>
        <w:rPr>
          <w:rFonts w:hint="eastAsia" w:ascii="宋体" w:hAnsi="宋体" w:cs="宋体"/>
          <w:kern w:val="0"/>
          <w:sz w:val="24"/>
          <w:szCs w:val="24"/>
        </w:rPr>
        <w:t>老师（</w:t>
      </w:r>
      <w:r>
        <w:rPr>
          <w:rFonts w:ascii="宋体" w:hAnsi="宋体" w:cs="宋体"/>
          <w:kern w:val="0"/>
          <w:sz w:val="24"/>
          <w:szCs w:val="24"/>
        </w:rPr>
        <w:t>0791-88305687</w:t>
      </w:r>
      <w:r>
        <w:rPr>
          <w:rFonts w:hint="eastAsia" w:ascii="宋体" w:hAnsi="宋体" w:cs="宋体"/>
          <w:kern w:val="0"/>
          <w:sz w:val="24"/>
          <w:szCs w:val="24"/>
        </w:rPr>
        <w:t xml:space="preserve">）  </w:t>
      </w:r>
      <w:r>
        <w:rPr>
          <w:rFonts w:ascii="宋体" w:hAnsi="宋体" w:cs="宋体"/>
          <w:kern w:val="0"/>
          <w:sz w:val="24"/>
          <w:szCs w:val="24"/>
        </w:rPr>
        <w:t>E-mail:soft@ncu.</w:t>
      </w:r>
      <w:r>
        <w:rPr>
          <w:rFonts w:hint="eastAsia" w:ascii="宋体" w:hAnsi="宋体" w:cs="宋体"/>
          <w:kern w:val="0"/>
          <w:sz w:val="24"/>
          <w:szCs w:val="24"/>
        </w:rPr>
        <w:t>edu.cn</w:t>
      </w:r>
    </w:p>
    <w:p>
      <w:pPr>
        <w:spacing w:line="400" w:lineRule="exact"/>
        <w:ind w:firstLine="480" w:firstLineChars="200"/>
        <w:rPr>
          <w:rFonts w:ascii="宋体" w:hAnsi="宋体"/>
          <w:sz w:val="24"/>
          <w:szCs w:val="24"/>
        </w:rPr>
      </w:pPr>
    </w:p>
    <w:p>
      <w:pPr>
        <w:spacing w:line="400" w:lineRule="exact"/>
        <w:ind w:firstLine="480" w:firstLineChars="200"/>
        <w:rPr>
          <w:rFonts w:ascii="宋体" w:hAnsi="宋体"/>
          <w:sz w:val="24"/>
          <w:szCs w:val="24"/>
        </w:rPr>
      </w:pPr>
    </w:p>
    <w:p>
      <w:pPr>
        <w:spacing w:line="400" w:lineRule="exact"/>
        <w:ind w:firstLine="480" w:firstLineChars="200"/>
        <w:rPr>
          <w:rFonts w:ascii="宋体" w:hAnsi="宋体"/>
        </w:rPr>
      </w:pPr>
      <w:r>
        <w:rPr>
          <w:rFonts w:hint="eastAsia" w:ascii="宋体" w:hAnsi="宋体"/>
          <w:sz w:val="24"/>
          <w:szCs w:val="24"/>
        </w:rPr>
        <w:t>一、招聘对象</w:t>
      </w:r>
      <w:r>
        <w:rPr>
          <w:rFonts w:hint="eastAsia" w:ascii="宋体" w:hAnsi="宋体"/>
        </w:rPr>
        <w:t>：</w:t>
      </w:r>
    </w:p>
    <w:p>
      <w:pPr>
        <w:spacing w:line="400" w:lineRule="exact"/>
        <w:ind w:firstLine="480" w:firstLineChars="200"/>
        <w:rPr>
          <w:rFonts w:ascii="宋体"/>
          <w:sz w:val="24"/>
          <w:szCs w:val="24"/>
        </w:rPr>
      </w:pPr>
      <w:r>
        <w:rPr>
          <w:rFonts w:hint="eastAsia" w:ascii="宋体" w:hAnsi="宋体" w:cs="宋体"/>
          <w:kern w:val="0"/>
          <w:sz w:val="24"/>
          <w:szCs w:val="24"/>
        </w:rPr>
        <w:t>专业（研究方向）为计算机科学与技术类专业（0812）、软件工程类专业（0835）、网络空间安全类专业（0839）、数学类专业（0701）、系统科学类专业（0711）、工学类专业（08）的</w:t>
      </w:r>
      <w:r>
        <w:rPr>
          <w:rFonts w:hint="eastAsia" w:ascii="宋体" w:hAnsi="宋体"/>
          <w:sz w:val="24"/>
          <w:szCs w:val="24"/>
        </w:rPr>
        <w:t>博士研究生（教学科研岗）</w:t>
      </w:r>
      <w:r>
        <w:rPr>
          <w:rFonts w:hint="eastAsia" w:ascii="宋体" w:hAnsi="宋体" w:cs="宋体"/>
          <w:kern w:val="0"/>
          <w:sz w:val="24"/>
          <w:szCs w:val="24"/>
        </w:rPr>
        <w:t>。</w:t>
      </w:r>
    </w:p>
    <w:p>
      <w:pPr>
        <w:spacing w:line="400" w:lineRule="exact"/>
        <w:ind w:firstLine="480" w:firstLineChars="200"/>
        <w:rPr>
          <w:rFonts w:ascii="宋体"/>
          <w:sz w:val="24"/>
          <w:szCs w:val="24"/>
        </w:rPr>
      </w:pPr>
      <w:r>
        <w:rPr>
          <w:rFonts w:hint="eastAsia" w:ascii="宋体" w:hAnsi="宋体"/>
          <w:sz w:val="24"/>
          <w:szCs w:val="24"/>
        </w:rPr>
        <w:t>二、引进人才应具备的基本条件：</w:t>
      </w:r>
    </w:p>
    <w:p>
      <w:pPr>
        <w:spacing w:line="400" w:lineRule="exact"/>
        <w:ind w:firstLine="480" w:firstLineChars="200"/>
        <w:rPr>
          <w:rFonts w:ascii="宋体" w:cs="宋体"/>
          <w:kern w:val="0"/>
          <w:sz w:val="24"/>
          <w:szCs w:val="24"/>
        </w:rPr>
      </w:pPr>
      <w:r>
        <w:rPr>
          <w:rFonts w:hint="eastAsia" w:ascii="宋体" w:hAnsi="宋体" w:cs="宋体"/>
          <w:kern w:val="0"/>
          <w:sz w:val="24"/>
          <w:szCs w:val="24"/>
        </w:rPr>
        <w:t>1.一般应具有高水平院校、科研院所、海外知名大学全日制研究生学历、博士学位或正高职称人员</w:t>
      </w:r>
      <w:r>
        <w:rPr>
          <w:rFonts w:hint="eastAsia" w:ascii="宋体" w:hAnsi="宋体" w:cs="宋体"/>
          <w:color w:val="FF0000"/>
          <w:kern w:val="0"/>
          <w:sz w:val="24"/>
          <w:szCs w:val="24"/>
        </w:rPr>
        <w:t>，各阶段教育背景优秀，所学专业相近或相关。具有国际化视野，业绩特别突出者可适当放宽。</w:t>
      </w:r>
    </w:p>
    <w:p>
      <w:pPr>
        <w:spacing w:line="400" w:lineRule="exact"/>
        <w:ind w:firstLine="480" w:firstLineChars="200"/>
        <w:rPr>
          <w:rFonts w:ascii="宋体" w:hAnsi="宋体" w:cs="宋体"/>
          <w:color w:val="000000"/>
          <w:kern w:val="0"/>
          <w:sz w:val="24"/>
          <w:szCs w:val="24"/>
        </w:rPr>
      </w:pPr>
      <w:r>
        <w:rPr>
          <w:rFonts w:hint="eastAsia" w:ascii="宋体" w:hAnsi="宋体" w:cs="宋体"/>
          <w:kern w:val="0"/>
          <w:sz w:val="24"/>
          <w:szCs w:val="24"/>
        </w:rPr>
        <w:t>2.</w:t>
      </w:r>
      <w:r>
        <w:rPr>
          <w:rFonts w:ascii="宋体" w:hAnsi="宋体" w:cs="宋体"/>
          <w:color w:val="000000"/>
          <w:kern w:val="0"/>
          <w:sz w:val="24"/>
          <w:szCs w:val="24"/>
        </w:rPr>
        <w:t>除特别说明外，博士年龄原则上要求32周岁以下，</w:t>
      </w:r>
      <w:r>
        <w:rPr>
          <w:rFonts w:hint="eastAsia" w:ascii="宋体" w:hAnsi="宋体" w:cs="宋体"/>
          <w:color w:val="FF0000"/>
          <w:kern w:val="0"/>
          <w:sz w:val="24"/>
          <w:szCs w:val="24"/>
        </w:rPr>
        <w:t>业绩特别突出者年龄可</w:t>
      </w:r>
      <w:r>
        <w:rPr>
          <w:rFonts w:hint="eastAsia" w:ascii="宋体" w:hAnsi="宋体" w:cs="宋体"/>
          <w:color w:val="000000"/>
          <w:kern w:val="0"/>
          <w:sz w:val="24"/>
          <w:szCs w:val="24"/>
        </w:rPr>
        <w:t>适当放宽至45周岁。</w:t>
      </w:r>
    </w:p>
    <w:p>
      <w:pPr>
        <w:spacing w:line="400" w:lineRule="exact"/>
        <w:ind w:firstLine="480" w:firstLineChars="200"/>
        <w:rPr>
          <w:rFonts w:ascii="宋体" w:hAnsi="宋体"/>
          <w:sz w:val="24"/>
          <w:szCs w:val="24"/>
        </w:rPr>
      </w:pPr>
      <w:r>
        <w:rPr>
          <w:rFonts w:hint="eastAsia" w:ascii="宋体" w:hAnsi="宋体"/>
          <w:sz w:val="24"/>
          <w:szCs w:val="24"/>
        </w:rPr>
        <w:t>三、博士人才待遇（税前）：</w:t>
      </w:r>
    </w:p>
    <w:p>
      <w:pPr>
        <w:spacing w:line="400" w:lineRule="exact"/>
        <w:ind w:firstLine="480" w:firstLineChars="200"/>
        <w:rPr>
          <w:rFonts w:ascii="宋体" w:hAnsi="宋体"/>
          <w:sz w:val="24"/>
          <w:szCs w:val="24"/>
        </w:rPr>
      </w:pPr>
      <w:r>
        <w:rPr>
          <w:rFonts w:hint="eastAsia" w:ascii="宋体" w:hAnsi="宋体"/>
          <w:sz w:val="24"/>
          <w:szCs w:val="24"/>
        </w:rPr>
        <w:t>1.南昌大学优秀博士人才待遇：</w:t>
      </w:r>
    </w:p>
    <w:tbl>
      <w:tblPr>
        <w:tblStyle w:val="6"/>
        <w:tblW w:w="10400" w:type="dxa"/>
        <w:tblInd w:w="147" w:type="dxa"/>
        <w:tblLayout w:type="fixed"/>
        <w:tblCellMar>
          <w:top w:w="0" w:type="dxa"/>
          <w:left w:w="108" w:type="dxa"/>
          <w:bottom w:w="0" w:type="dxa"/>
          <w:right w:w="108" w:type="dxa"/>
        </w:tblCellMar>
      </w:tblPr>
      <w:tblGrid>
        <w:gridCol w:w="2250"/>
        <w:gridCol w:w="1733"/>
        <w:gridCol w:w="950"/>
        <w:gridCol w:w="1134"/>
        <w:gridCol w:w="2100"/>
        <w:gridCol w:w="2233"/>
      </w:tblGrid>
      <w:tr>
        <w:tblPrEx>
          <w:tblCellMar>
            <w:top w:w="0" w:type="dxa"/>
            <w:left w:w="108" w:type="dxa"/>
            <w:bottom w:w="0" w:type="dxa"/>
            <w:right w:w="108" w:type="dxa"/>
          </w:tblCellMar>
        </w:tblPrEx>
        <w:trPr>
          <w:trHeight w:val="495" w:hRule="atLeast"/>
        </w:trPr>
        <w:tc>
          <w:tcPr>
            <w:tcW w:w="22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博士层次</w:t>
            </w:r>
          </w:p>
        </w:tc>
        <w:tc>
          <w:tcPr>
            <w:tcW w:w="1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类型</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安家费</w:t>
            </w:r>
          </w:p>
          <w:p>
            <w:pPr>
              <w:widowControl/>
              <w:jc w:val="center"/>
              <w:rPr>
                <w:rFonts w:ascii="宋体" w:hAnsi="宋体" w:cs="Arial"/>
                <w:b/>
                <w:bCs/>
                <w:color w:val="000000"/>
                <w:kern w:val="0"/>
                <w:szCs w:val="21"/>
              </w:rPr>
            </w:pPr>
            <w:r>
              <w:rPr>
                <w:rFonts w:hint="eastAsia" w:ascii="宋体" w:hAnsi="宋体" w:cs="Arial"/>
                <w:b/>
                <w:bCs/>
                <w:color w:val="000000"/>
                <w:kern w:val="0"/>
                <w:szCs w:val="21"/>
              </w:rPr>
              <w:t>(万)</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购房补贴</w:t>
            </w:r>
          </w:p>
          <w:p>
            <w:pPr>
              <w:widowControl/>
              <w:jc w:val="center"/>
              <w:rPr>
                <w:rFonts w:ascii="宋体" w:hAnsi="宋体" w:cs="Arial"/>
                <w:b/>
                <w:bCs/>
                <w:color w:val="000000"/>
                <w:kern w:val="0"/>
                <w:szCs w:val="21"/>
              </w:rPr>
            </w:pPr>
            <w:r>
              <w:rPr>
                <w:rFonts w:hint="eastAsia" w:ascii="宋体" w:hAnsi="宋体" w:cs="Arial"/>
                <w:b/>
                <w:bCs/>
                <w:color w:val="000000"/>
                <w:kern w:val="0"/>
                <w:szCs w:val="21"/>
              </w:rPr>
              <w:t>(万)</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科研启动费（引进）</w:t>
            </w:r>
          </w:p>
          <w:p>
            <w:pPr>
              <w:widowControl/>
              <w:jc w:val="center"/>
              <w:rPr>
                <w:rFonts w:ascii="宋体" w:hAnsi="宋体" w:cs="Arial"/>
                <w:b/>
                <w:bCs/>
                <w:color w:val="000000"/>
                <w:kern w:val="0"/>
                <w:szCs w:val="21"/>
              </w:rPr>
            </w:pPr>
            <w:r>
              <w:rPr>
                <w:rFonts w:hint="eastAsia" w:ascii="宋体" w:hAnsi="宋体" w:cs="Arial"/>
                <w:b/>
                <w:bCs/>
                <w:color w:val="000000"/>
                <w:kern w:val="0"/>
                <w:szCs w:val="21"/>
              </w:rPr>
              <w:t>参考标准(万)</w:t>
            </w:r>
          </w:p>
        </w:tc>
        <w:tc>
          <w:tcPr>
            <w:tcW w:w="22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distribute"/>
              <w:rPr>
                <w:rFonts w:ascii="宋体" w:hAnsi="宋体" w:cs="Arial"/>
                <w:b/>
                <w:bCs/>
                <w:color w:val="000000"/>
                <w:kern w:val="0"/>
                <w:szCs w:val="21"/>
              </w:rPr>
            </w:pPr>
            <w:r>
              <w:rPr>
                <w:rFonts w:hint="eastAsia" w:ascii="宋体" w:hAnsi="宋体" w:cs="Arial"/>
                <w:b/>
                <w:bCs/>
                <w:color w:val="000000"/>
                <w:kern w:val="0"/>
                <w:szCs w:val="21"/>
              </w:rPr>
              <w:t>南昌“人才十条”待遇</w:t>
            </w:r>
          </w:p>
        </w:tc>
      </w:tr>
      <w:tr>
        <w:tblPrEx>
          <w:tblCellMar>
            <w:top w:w="0" w:type="dxa"/>
            <w:left w:w="108" w:type="dxa"/>
            <w:bottom w:w="0" w:type="dxa"/>
            <w:right w:w="108" w:type="dxa"/>
          </w:tblCellMar>
        </w:tblPrEx>
        <w:trPr>
          <w:trHeight w:val="912" w:hRule="atLeast"/>
        </w:trPr>
        <w:tc>
          <w:tcPr>
            <w:tcW w:w="2250" w:type="dxa"/>
            <w:vMerge w:val="restart"/>
            <w:tcBorders>
              <w:top w:val="single" w:color="auto" w:sz="8" w:space="0"/>
              <w:left w:val="single" w:color="auto" w:sz="8" w:space="0"/>
              <w:bottom w:val="single" w:color="auto" w:sz="8" w:space="0"/>
              <w:right w:val="single" w:color="auto" w:sz="8" w:space="0"/>
            </w:tcBorders>
            <w:shd w:val="clear" w:color="auto" w:fill="auto"/>
          </w:tcPr>
          <w:p>
            <w:pPr>
              <w:widowControl/>
              <w:spacing w:line="0" w:lineRule="atLeast"/>
              <w:jc w:val="left"/>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条件一</w:t>
            </w:r>
            <w:r>
              <w:rPr>
                <w:rFonts w:hint="eastAsia" w:ascii="微软雅黑" w:hAnsi="微软雅黑" w:eastAsia="微软雅黑" w:cs="宋体"/>
                <w:color w:val="000000"/>
                <w:kern w:val="0"/>
                <w:szCs w:val="21"/>
              </w:rPr>
              <w:t>：全球三大排名前500名海外高校毕业且年龄、教育背景均完全符合学校条件；</w:t>
            </w:r>
          </w:p>
          <w:p>
            <w:pPr>
              <w:widowControl/>
              <w:spacing w:line="0" w:lineRule="atLeast"/>
              <w:jc w:val="left"/>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条件二</w:t>
            </w:r>
            <w:r>
              <w:rPr>
                <w:rFonts w:hint="eastAsia" w:ascii="微软雅黑" w:hAnsi="微软雅黑" w:eastAsia="微软雅黑" w:cs="宋体"/>
                <w:color w:val="000000"/>
                <w:kern w:val="0"/>
                <w:szCs w:val="21"/>
              </w:rPr>
              <w:t>：全球三大排名前200名的中国高校毕业且年龄、教育背景均完全符合学校条件；</w:t>
            </w:r>
          </w:p>
          <w:p>
            <w:pPr>
              <w:jc w:val="left"/>
            </w:pPr>
            <w:r>
              <w:rPr>
                <w:rFonts w:hint="eastAsia"/>
                <w:b/>
                <w:bCs/>
              </w:rPr>
              <w:t>条件三：</w:t>
            </w:r>
            <w:r>
              <w:rPr>
                <w:rFonts w:hint="eastAsia"/>
              </w:rPr>
              <w:t>业绩突出博士（年龄、教育背景及科研业绩均优于学校条件）。</w:t>
            </w:r>
          </w:p>
        </w:tc>
        <w:tc>
          <w:tcPr>
            <w:tcW w:w="1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其他</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Calibri"/>
                <w:color w:val="000000"/>
                <w:kern w:val="0"/>
                <w:szCs w:val="21"/>
              </w:rPr>
            </w:pPr>
            <w:r>
              <w:rPr>
                <w:rFonts w:hint="eastAsia" w:cs="Calibri"/>
                <w:color w:val="000000"/>
                <w:kern w:val="0"/>
                <w:szCs w:val="21"/>
              </w:rPr>
              <w:t>8</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11</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文</w:t>
            </w:r>
            <w:r>
              <w:rPr>
                <w:rFonts w:cs="Calibri"/>
                <w:color w:val="000000"/>
                <w:kern w:val="0"/>
                <w:szCs w:val="21"/>
              </w:rPr>
              <w:t>4</w:t>
            </w:r>
            <w:r>
              <w:rPr>
                <w:rFonts w:hint="eastAsia" w:ascii="宋体" w:hAnsi="宋体" w:cs="Arial"/>
                <w:color w:val="000000"/>
                <w:kern w:val="0"/>
                <w:szCs w:val="21"/>
              </w:rPr>
              <w:t>、理</w:t>
            </w:r>
            <w:r>
              <w:rPr>
                <w:rFonts w:cs="Calibri"/>
                <w:color w:val="000000"/>
                <w:kern w:val="0"/>
                <w:szCs w:val="21"/>
              </w:rPr>
              <w:t>6</w:t>
            </w:r>
            <w:r>
              <w:rPr>
                <w:rFonts w:hint="eastAsia" w:ascii="宋体" w:hAnsi="宋体" w:cs="Arial"/>
                <w:color w:val="000000"/>
                <w:kern w:val="0"/>
                <w:szCs w:val="21"/>
              </w:rPr>
              <w:t>、工医</w:t>
            </w:r>
            <w:r>
              <w:rPr>
                <w:rFonts w:cs="Calibri"/>
                <w:color w:val="000000"/>
                <w:kern w:val="0"/>
                <w:szCs w:val="21"/>
              </w:rPr>
              <w:t>8</w:t>
            </w:r>
          </w:p>
        </w:tc>
        <w:tc>
          <w:tcPr>
            <w:tcW w:w="2233" w:type="dxa"/>
            <w:vMerge w:val="restart"/>
            <w:tcBorders>
              <w:top w:val="single" w:color="auto" w:sz="8" w:space="0"/>
              <w:left w:val="single" w:color="auto" w:sz="8" w:space="0"/>
              <w:right w:val="single" w:color="auto" w:sz="8" w:space="0"/>
            </w:tcBorders>
            <w:shd w:val="clear" w:color="auto" w:fill="auto"/>
            <w:vAlign w:val="center"/>
          </w:tcPr>
          <w:p>
            <w:pPr>
              <w:widowControl/>
              <w:spacing w:line="0" w:lineRule="atLeast"/>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落户奖励1000元，生活补贴5万元。</w:t>
            </w:r>
          </w:p>
          <w:p>
            <w:pPr>
              <w:widowControl/>
              <w:spacing w:line="0" w:lineRule="atLeast"/>
              <w:jc w:val="center"/>
              <w:rPr>
                <w:rFonts w:ascii="微软雅黑" w:hAnsi="微软雅黑" w:eastAsia="微软雅黑" w:cs="宋体"/>
                <w:b/>
                <w:bCs/>
                <w:color w:val="000000"/>
                <w:kern w:val="0"/>
                <w:szCs w:val="21"/>
              </w:rPr>
            </w:pPr>
          </w:p>
          <w:p>
            <w:pPr>
              <w:widowControl/>
              <w:spacing w:line="0" w:lineRule="atLeast"/>
              <w:jc w:val="left"/>
              <w:rPr>
                <w:rFonts w:ascii="宋体" w:hAnsi="宋体" w:cs="Arial"/>
                <w:color w:val="000000"/>
                <w:kern w:val="0"/>
                <w:szCs w:val="21"/>
              </w:rPr>
            </w:pPr>
            <w:r>
              <w:rPr>
                <w:rFonts w:hint="eastAsia" w:ascii="微软雅黑" w:hAnsi="微软雅黑" w:eastAsia="微软雅黑" w:cs="宋体"/>
                <w:color w:val="000000"/>
                <w:kern w:val="0"/>
                <w:szCs w:val="21"/>
              </w:rPr>
              <w:t>《关于支持大学毕业生和技能人才来昌留昌创业就业的实施意见》相关规定详见：</w:t>
            </w:r>
            <w:r>
              <w:fldChar w:fldCharType="begin"/>
            </w:r>
            <w:r>
              <w:instrText xml:space="preserve"> HYPERLINK "http://www.nc.gov.cn/ncszf/bmwj/202007/97c4e539614d48d7a6f80e90b658983c.shtml" </w:instrText>
            </w:r>
            <w:r>
              <w:fldChar w:fldCharType="separate"/>
            </w:r>
            <w:r>
              <w:rPr>
                <w:rFonts w:hint="eastAsia" w:ascii="微软雅黑" w:hAnsi="微软雅黑" w:eastAsia="微软雅黑" w:cs="宋体"/>
                <w:color w:val="000000"/>
                <w:kern w:val="0"/>
                <w:szCs w:val="21"/>
              </w:rPr>
              <w:t>http://www.nc.gov.cn/ncszf/bmwj/202007/97c4e539614d48d7a6f80e90b658983c.shtml</w:t>
            </w:r>
            <w:r>
              <w:rPr>
                <w:rFonts w:hint="eastAsia" w:ascii="微软雅黑" w:hAnsi="微软雅黑" w:eastAsia="微软雅黑" w:cs="宋体"/>
                <w:color w:val="000000"/>
                <w:kern w:val="0"/>
                <w:szCs w:val="21"/>
              </w:rPr>
              <w:fldChar w:fldCharType="end"/>
            </w:r>
          </w:p>
        </w:tc>
      </w:tr>
      <w:tr>
        <w:tblPrEx>
          <w:tblCellMar>
            <w:top w:w="0" w:type="dxa"/>
            <w:left w:w="108" w:type="dxa"/>
            <w:bottom w:w="0" w:type="dxa"/>
            <w:right w:w="108" w:type="dxa"/>
          </w:tblCellMar>
        </w:tblPrEx>
        <w:trPr>
          <w:trHeight w:val="966" w:hRule="atLeast"/>
        </w:trPr>
        <w:tc>
          <w:tcPr>
            <w:tcW w:w="2250" w:type="dxa"/>
            <w:vMerge w:val="continue"/>
            <w:tcBorders>
              <w:top w:val="single" w:color="auto" w:sz="8" w:space="0"/>
              <w:left w:val="single" w:color="auto" w:sz="8" w:space="0"/>
              <w:bottom w:val="single" w:color="auto" w:sz="8" w:space="0"/>
              <w:right w:val="single" w:color="auto" w:sz="8" w:space="0"/>
            </w:tcBorders>
            <w:shd w:val="clear" w:color="auto" w:fill="auto"/>
          </w:tcPr>
          <w:p>
            <w:pPr>
              <w:widowControl/>
              <w:jc w:val="left"/>
              <w:rPr>
                <w:rFonts w:ascii="Arial" w:hAnsi="Arial" w:cs="Arial"/>
                <w:kern w:val="0"/>
                <w:sz w:val="20"/>
                <w:szCs w:val="20"/>
              </w:rPr>
            </w:pPr>
          </w:p>
        </w:tc>
        <w:tc>
          <w:tcPr>
            <w:tcW w:w="1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具有国际化视野</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Calibri"/>
                <w:color w:val="000000"/>
                <w:kern w:val="0"/>
                <w:szCs w:val="21"/>
              </w:rPr>
            </w:pPr>
            <w:r>
              <w:rPr>
                <w:rFonts w:hint="eastAsia" w:cs="Calibri"/>
                <w:color w:val="000000"/>
                <w:kern w:val="0"/>
                <w:szCs w:val="21"/>
              </w:rPr>
              <w:t>10</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11</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文</w:t>
            </w:r>
            <w:r>
              <w:rPr>
                <w:rFonts w:hint="eastAsia" w:ascii="宋体" w:hAnsi="宋体" w:cs="Arial"/>
                <w:color w:val="000000"/>
                <w:kern w:val="0"/>
                <w:szCs w:val="21"/>
                <w:lang w:val="en-US" w:eastAsia="zh-CN"/>
              </w:rPr>
              <w:t>6</w:t>
            </w:r>
            <w:r>
              <w:rPr>
                <w:rFonts w:hint="eastAsia" w:ascii="宋体" w:hAnsi="宋体" w:cs="Arial"/>
                <w:color w:val="000000"/>
                <w:kern w:val="0"/>
                <w:szCs w:val="21"/>
              </w:rPr>
              <w:t>、理</w:t>
            </w:r>
            <w:r>
              <w:rPr>
                <w:rFonts w:cs="Calibri"/>
                <w:color w:val="000000"/>
                <w:kern w:val="0"/>
                <w:szCs w:val="21"/>
              </w:rPr>
              <w:t>8</w:t>
            </w:r>
            <w:r>
              <w:rPr>
                <w:rFonts w:hint="eastAsia" w:ascii="宋体" w:hAnsi="宋体" w:cs="Arial"/>
                <w:color w:val="000000"/>
                <w:kern w:val="0"/>
                <w:szCs w:val="21"/>
              </w:rPr>
              <w:t>、工医</w:t>
            </w:r>
            <w:r>
              <w:rPr>
                <w:rFonts w:cs="Calibri"/>
                <w:color w:val="000000"/>
                <w:kern w:val="0"/>
                <w:szCs w:val="21"/>
              </w:rPr>
              <w:t>10</w:t>
            </w:r>
          </w:p>
        </w:tc>
        <w:tc>
          <w:tcPr>
            <w:tcW w:w="2233" w:type="dxa"/>
            <w:vMerge w:val="continue"/>
            <w:tcBorders>
              <w:left w:val="single" w:color="auto" w:sz="8" w:space="0"/>
              <w:right w:val="single" w:color="auto" w:sz="8" w:space="0"/>
            </w:tcBorders>
            <w:shd w:val="clear" w:color="auto" w:fill="auto"/>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1116" w:hRule="atLeast"/>
        </w:trPr>
        <w:tc>
          <w:tcPr>
            <w:tcW w:w="22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kern w:val="0"/>
                <w:szCs w:val="21"/>
              </w:rPr>
            </w:pPr>
          </w:p>
        </w:tc>
        <w:tc>
          <w:tcPr>
            <w:tcW w:w="1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满足一个条件</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Calibri"/>
                <w:color w:val="000000"/>
                <w:kern w:val="0"/>
                <w:szCs w:val="21"/>
              </w:rPr>
            </w:pPr>
            <w:r>
              <w:rPr>
                <w:rFonts w:hint="eastAsia" w:cs="Calibri"/>
                <w:color w:val="000000"/>
                <w:kern w:val="0"/>
                <w:szCs w:val="21"/>
              </w:rPr>
              <w:t>10</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Arial"/>
                <w:color w:val="000000"/>
                <w:kern w:val="0"/>
                <w:szCs w:val="21"/>
              </w:rPr>
            </w:pPr>
            <w:r>
              <w:rPr>
                <w:rFonts w:hint="eastAsia" w:ascii="宋体" w:hAnsi="宋体" w:cs="Arial"/>
                <w:color w:val="000000"/>
                <w:kern w:val="0"/>
                <w:szCs w:val="21"/>
              </w:rPr>
              <w:t>文</w:t>
            </w:r>
            <w:r>
              <w:rPr>
                <w:rFonts w:cs="Calibri"/>
                <w:color w:val="000000"/>
                <w:kern w:val="0"/>
                <w:szCs w:val="21"/>
              </w:rPr>
              <w:t>6</w:t>
            </w:r>
            <w:r>
              <w:rPr>
                <w:rFonts w:hint="eastAsia" w:ascii="宋体" w:hAnsi="宋体" w:cs="Arial"/>
                <w:color w:val="000000"/>
                <w:kern w:val="0"/>
                <w:szCs w:val="21"/>
              </w:rPr>
              <w:t>、理</w:t>
            </w:r>
            <w:r>
              <w:rPr>
                <w:rFonts w:cs="Calibri"/>
                <w:color w:val="000000"/>
                <w:kern w:val="0"/>
                <w:szCs w:val="21"/>
              </w:rPr>
              <w:t>8</w:t>
            </w:r>
            <w:r>
              <w:rPr>
                <w:rFonts w:hint="eastAsia" w:ascii="宋体" w:hAnsi="宋体" w:cs="Arial"/>
                <w:color w:val="000000"/>
                <w:kern w:val="0"/>
                <w:szCs w:val="21"/>
              </w:rPr>
              <w:t>、工医</w:t>
            </w:r>
            <w:r>
              <w:rPr>
                <w:rFonts w:cs="Calibri"/>
                <w:color w:val="000000"/>
                <w:kern w:val="0"/>
                <w:szCs w:val="21"/>
              </w:rPr>
              <w:t>10</w:t>
            </w:r>
          </w:p>
        </w:tc>
        <w:tc>
          <w:tcPr>
            <w:tcW w:w="2233" w:type="dxa"/>
            <w:vMerge w:val="continue"/>
            <w:tcBorders>
              <w:left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820" w:hRule="atLeast"/>
        </w:trPr>
        <w:tc>
          <w:tcPr>
            <w:tcW w:w="22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Arial"/>
                <w:kern w:val="0"/>
                <w:szCs w:val="21"/>
              </w:rPr>
            </w:pPr>
          </w:p>
        </w:tc>
        <w:tc>
          <w:tcPr>
            <w:tcW w:w="17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满足两个条件</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Calibri"/>
                <w:color w:val="000000"/>
                <w:kern w:val="0"/>
                <w:szCs w:val="21"/>
              </w:rPr>
            </w:pPr>
            <w:r>
              <w:rPr>
                <w:rFonts w:hint="eastAsia" w:cs="Calibri"/>
                <w:color w:val="000000"/>
                <w:kern w:val="0"/>
                <w:szCs w:val="21"/>
              </w:rPr>
              <w:t>15</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30</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Arial"/>
                <w:color w:val="000000"/>
                <w:kern w:val="0"/>
                <w:szCs w:val="21"/>
              </w:rPr>
            </w:pPr>
            <w:r>
              <w:rPr>
                <w:rFonts w:hint="eastAsia" w:ascii="宋体" w:hAnsi="宋体" w:cs="Arial"/>
                <w:color w:val="000000"/>
                <w:kern w:val="0"/>
                <w:szCs w:val="21"/>
              </w:rPr>
              <w:t>文</w:t>
            </w:r>
            <w:r>
              <w:rPr>
                <w:rFonts w:cs="Calibri"/>
                <w:color w:val="000000"/>
                <w:kern w:val="0"/>
                <w:szCs w:val="21"/>
              </w:rPr>
              <w:t>8</w:t>
            </w:r>
            <w:r>
              <w:rPr>
                <w:rFonts w:hint="eastAsia" w:ascii="宋体" w:hAnsi="宋体" w:cs="Arial"/>
                <w:color w:val="000000"/>
                <w:kern w:val="0"/>
                <w:szCs w:val="21"/>
              </w:rPr>
              <w:t>、理</w:t>
            </w:r>
            <w:r>
              <w:rPr>
                <w:rFonts w:cs="Calibri"/>
                <w:color w:val="000000"/>
                <w:kern w:val="0"/>
                <w:szCs w:val="21"/>
              </w:rPr>
              <w:t>10</w:t>
            </w:r>
            <w:r>
              <w:rPr>
                <w:rFonts w:hint="eastAsia" w:ascii="宋体" w:hAnsi="宋体" w:cs="Arial"/>
                <w:color w:val="000000"/>
                <w:kern w:val="0"/>
                <w:szCs w:val="21"/>
              </w:rPr>
              <w:t>、工医</w:t>
            </w:r>
            <w:r>
              <w:rPr>
                <w:rFonts w:cs="Calibri"/>
                <w:color w:val="000000"/>
                <w:kern w:val="0"/>
                <w:szCs w:val="21"/>
              </w:rPr>
              <w:t>12</w:t>
            </w:r>
          </w:p>
        </w:tc>
        <w:tc>
          <w:tcPr>
            <w:tcW w:w="2233" w:type="dxa"/>
            <w:vMerge w:val="continue"/>
            <w:tcBorders>
              <w:left w:val="single" w:color="auto" w:sz="8" w:space="0"/>
              <w:right w:val="single" w:color="auto" w:sz="8" w:space="0"/>
            </w:tcBorders>
            <w:shd w:val="clear" w:color="auto" w:fill="auto"/>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501" w:hRule="atLeast"/>
        </w:trPr>
        <w:tc>
          <w:tcPr>
            <w:tcW w:w="398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高层次人才</w:t>
            </w:r>
          </w:p>
        </w:tc>
        <w:tc>
          <w:tcPr>
            <w:tcW w:w="4184"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cs="Calibri"/>
                <w:color w:val="000000"/>
                <w:kern w:val="0"/>
                <w:szCs w:val="21"/>
              </w:rPr>
            </w:pPr>
            <w:r>
              <w:rPr>
                <w:rFonts w:cs="Calibri"/>
                <w:color w:val="000000"/>
                <w:kern w:val="0"/>
                <w:szCs w:val="21"/>
              </w:rPr>
              <w:t>参照南昌大学高层次人才待遇，一事一议</w:t>
            </w:r>
          </w:p>
        </w:tc>
        <w:tc>
          <w:tcPr>
            <w:tcW w:w="2233" w:type="dxa"/>
            <w:vMerge w:val="continue"/>
            <w:tcBorders>
              <w:left w:val="single" w:color="auto" w:sz="8" w:space="0"/>
              <w:right w:val="single" w:color="auto" w:sz="8" w:space="0"/>
            </w:tcBorders>
            <w:vAlign w:val="center"/>
          </w:tcPr>
          <w:p>
            <w:pPr>
              <w:widowControl/>
              <w:jc w:val="center"/>
              <w:rPr>
                <w:rFonts w:cs="Calibri"/>
                <w:color w:val="000000"/>
                <w:kern w:val="0"/>
                <w:szCs w:val="21"/>
              </w:rPr>
            </w:pPr>
          </w:p>
        </w:tc>
      </w:tr>
      <w:tr>
        <w:tblPrEx>
          <w:tblCellMar>
            <w:top w:w="0" w:type="dxa"/>
            <w:left w:w="108" w:type="dxa"/>
            <w:bottom w:w="0" w:type="dxa"/>
            <w:right w:w="108" w:type="dxa"/>
          </w:tblCellMar>
        </w:tblPrEx>
        <w:trPr>
          <w:trHeight w:val="451" w:hRule="atLeast"/>
        </w:trPr>
        <w:tc>
          <w:tcPr>
            <w:tcW w:w="10400" w:type="dxa"/>
            <w:gridSpan w:val="6"/>
            <w:tcBorders>
              <w:top w:val="single" w:color="auto" w:sz="8" w:space="0"/>
              <w:left w:val="single" w:color="auto" w:sz="8" w:space="0"/>
              <w:bottom w:val="single" w:color="auto" w:sz="8" w:space="0"/>
              <w:right w:val="single" w:color="auto" w:sz="8" w:space="0"/>
            </w:tcBorders>
          </w:tcPr>
          <w:p>
            <w:pPr>
              <w:spacing w:line="300" w:lineRule="exact"/>
              <w:rPr>
                <w:rFonts w:ascii="宋体" w:hAnsi="宋体" w:cs="宋体"/>
                <w:b/>
                <w:bCs/>
                <w:kern w:val="0"/>
                <w:szCs w:val="21"/>
              </w:rPr>
            </w:pPr>
            <w:r>
              <w:rPr>
                <w:rFonts w:hint="eastAsia" w:ascii="宋体" w:hAnsi="宋体" w:cs="宋体"/>
                <w:b/>
                <w:bCs/>
                <w:kern w:val="0"/>
                <w:szCs w:val="21"/>
              </w:rPr>
              <w:t xml:space="preserve">相关说明： </w:t>
            </w:r>
          </w:p>
          <w:p>
            <w:pPr>
              <w:spacing w:line="300" w:lineRule="exact"/>
              <w:rPr>
                <w:rFonts w:ascii="宋体" w:hAnsi="宋体" w:cs="宋体"/>
                <w:kern w:val="0"/>
                <w:szCs w:val="21"/>
              </w:rPr>
            </w:pPr>
            <w:r>
              <w:rPr>
                <w:rFonts w:hint="eastAsia" w:ascii="宋体" w:hAnsi="宋体" w:cs="宋体"/>
                <w:kern w:val="0"/>
                <w:szCs w:val="21"/>
              </w:rPr>
              <w:t>1.引进人才取得博士毕业证和学位证，并正式报到上岗后，学校按本表提供相关待遇；</w:t>
            </w:r>
          </w:p>
          <w:p>
            <w:pPr>
              <w:spacing w:line="300" w:lineRule="exact"/>
              <w:rPr>
                <w:rFonts w:ascii="宋体" w:hAnsi="宋体" w:cs="宋体"/>
                <w:color w:val="FF0000"/>
                <w:kern w:val="0"/>
                <w:szCs w:val="21"/>
              </w:rPr>
            </w:pPr>
            <w:r>
              <w:rPr>
                <w:rFonts w:hint="eastAsia" w:ascii="宋体" w:hAnsi="宋体" w:cs="宋体"/>
                <w:kern w:val="0"/>
                <w:szCs w:val="21"/>
              </w:rPr>
              <w:t>2.视专业(学科)及立项情况，由学校确定是否提供科研启动费。如决定提供科研启动费，</w:t>
            </w:r>
            <w:r>
              <w:rPr>
                <w:rFonts w:hint="eastAsia" w:ascii="宋体" w:hAnsi="宋体" w:cs="宋体"/>
                <w:color w:val="FF0000"/>
                <w:kern w:val="0"/>
                <w:szCs w:val="21"/>
              </w:rPr>
              <w:t>以入职学科标准决定；</w:t>
            </w:r>
          </w:p>
          <w:p>
            <w:pPr>
              <w:spacing w:line="300" w:lineRule="exact"/>
              <w:rPr>
                <w:rFonts w:ascii="宋体" w:hAnsi="宋体" w:cs="宋体"/>
                <w:kern w:val="0"/>
                <w:szCs w:val="21"/>
              </w:rPr>
            </w:pPr>
            <w:r>
              <w:rPr>
                <w:rFonts w:hint="eastAsia" w:ascii="宋体" w:hAnsi="宋体" w:cs="宋体"/>
                <w:kern w:val="0"/>
                <w:szCs w:val="21"/>
              </w:rPr>
              <w:t>3.安家费为一次性支付，住房补贴分八年支付,如购房可一次性提取（根据货币化分房政策，学校如出台相关政策，博士购房补助则按学校制定的货币化分房政策执行）；</w:t>
            </w:r>
          </w:p>
          <w:p>
            <w:pPr>
              <w:spacing w:line="300" w:lineRule="exact"/>
              <w:rPr>
                <w:rFonts w:ascii="宋体" w:hAnsi="宋体" w:cs="宋体"/>
                <w:kern w:val="0"/>
                <w:szCs w:val="21"/>
              </w:rPr>
            </w:pPr>
            <w:r>
              <w:rPr>
                <w:rFonts w:hint="eastAsia" w:ascii="宋体" w:hAnsi="宋体" w:cs="宋体"/>
                <w:kern w:val="0"/>
                <w:szCs w:val="21"/>
              </w:rPr>
              <w:t>4.已具有博士后经历且科研业绩突出者，可享受校聘副教授三级岗位津贴待遇三年，三年内可参评副教授；如三年后未能晋级，则回到原待遇；</w:t>
            </w:r>
          </w:p>
          <w:p>
            <w:pPr>
              <w:spacing w:line="300" w:lineRule="exact"/>
              <w:rPr>
                <w:rFonts w:ascii="宋体" w:hAnsi="宋体" w:cs="宋体"/>
                <w:kern w:val="0"/>
                <w:szCs w:val="21"/>
              </w:rPr>
            </w:pPr>
            <w:r>
              <w:rPr>
                <w:rFonts w:hint="eastAsia" w:ascii="宋体" w:hAnsi="宋体" w:cs="宋体"/>
                <w:kern w:val="0"/>
                <w:szCs w:val="21"/>
              </w:rPr>
              <w:t>5.本表所示“完全符合学校条件”认定标准为：各阶段教育背景优秀，所学专业与入职学科相近或相关。理工医科32周岁以下，人文社会科学35周岁以下；</w:t>
            </w:r>
          </w:p>
          <w:p>
            <w:pPr>
              <w:spacing w:line="300" w:lineRule="exact"/>
              <w:rPr>
                <w:rFonts w:ascii="宋体" w:hAnsi="宋体" w:cs="宋体"/>
                <w:kern w:val="0"/>
                <w:szCs w:val="21"/>
              </w:rPr>
            </w:pPr>
            <w:r>
              <w:rPr>
                <w:rFonts w:hint="eastAsia" w:ascii="宋体" w:hAnsi="宋体" w:cs="宋体"/>
                <w:kern w:val="0"/>
                <w:szCs w:val="21"/>
              </w:rPr>
              <w:t>6.本表所示“全球三大排名前500名海外高校毕业、全球三大排名前200名的中国高校毕业”认定标准为：以上海交通大学世界大学学术排名（ARWU）、QS世界大学排名、英国《泰晤士高等教育》杂志THE世界大学排名为依据，在两个或两个以上排名中均排列前200名或前500名；</w:t>
            </w:r>
          </w:p>
          <w:p>
            <w:pPr>
              <w:spacing w:line="300" w:lineRule="exact"/>
              <w:rPr>
                <w:rFonts w:cs="Calibri"/>
                <w:color w:val="000000"/>
                <w:kern w:val="0"/>
                <w:szCs w:val="21"/>
              </w:rPr>
            </w:pPr>
            <w:r>
              <w:rPr>
                <w:rFonts w:hint="eastAsia" w:ascii="宋体" w:hAnsi="宋体" w:cs="宋体"/>
                <w:kern w:val="0"/>
                <w:szCs w:val="21"/>
              </w:rPr>
              <w:t>7.所有待遇均需要结合二级单位岗位任务进行最终确定，并在学院考试面试过程中提交申请。</w:t>
            </w:r>
          </w:p>
        </w:tc>
      </w:tr>
    </w:tbl>
    <w:p>
      <w:pPr>
        <w:spacing w:line="400" w:lineRule="exact"/>
        <w:ind w:firstLine="482" w:firstLineChars="200"/>
        <w:rPr>
          <w:rFonts w:ascii="宋体"/>
          <w:b/>
          <w:bCs/>
          <w:sz w:val="24"/>
          <w:szCs w:val="24"/>
        </w:rPr>
      </w:pPr>
      <w:r>
        <w:rPr>
          <w:rFonts w:hint="eastAsia" w:ascii="宋体" w:hAnsi="宋体"/>
          <w:b/>
          <w:bCs/>
          <w:sz w:val="24"/>
          <w:szCs w:val="24"/>
        </w:rPr>
        <w:t>2.在学校的待遇之外，我院对引进人才有相关激励政策，根据实际业绩情况，对应不同津贴待遇，详情可电话咨询。</w:t>
      </w:r>
    </w:p>
    <w:p>
      <w:pPr>
        <w:spacing w:line="400" w:lineRule="exact"/>
        <w:ind w:firstLine="480" w:firstLineChars="200"/>
        <w:rPr>
          <w:rFonts w:ascii="宋体" w:hAnsi="宋体"/>
          <w:sz w:val="24"/>
          <w:szCs w:val="24"/>
        </w:rPr>
      </w:pPr>
      <w:r>
        <w:rPr>
          <w:rFonts w:hint="eastAsia" w:ascii="宋体" w:hAnsi="宋体"/>
          <w:sz w:val="24"/>
          <w:szCs w:val="24"/>
        </w:rPr>
        <w:t>四、应聘人员应提供的材料：</w:t>
      </w:r>
    </w:p>
    <w:p>
      <w:pPr>
        <w:spacing w:line="400" w:lineRule="exact"/>
        <w:ind w:firstLine="480" w:firstLineChars="200"/>
        <w:rPr>
          <w:rFonts w:ascii="宋体"/>
          <w:sz w:val="24"/>
          <w:szCs w:val="24"/>
        </w:rPr>
      </w:pPr>
      <w:r>
        <w:rPr>
          <w:rFonts w:hint="eastAsia" w:ascii="宋体" w:hAnsi="宋体"/>
          <w:sz w:val="24"/>
          <w:szCs w:val="24"/>
        </w:rPr>
        <w:t>本人简历、近</w:t>
      </w:r>
      <w:r>
        <w:rPr>
          <w:rFonts w:ascii="宋体" w:hAnsi="宋体"/>
          <w:sz w:val="24"/>
          <w:szCs w:val="24"/>
        </w:rPr>
        <w:t>3</w:t>
      </w:r>
      <w:r>
        <w:rPr>
          <w:rFonts w:hint="eastAsia" w:ascii="宋体" w:hAnsi="宋体"/>
          <w:sz w:val="24"/>
          <w:szCs w:val="24"/>
        </w:rPr>
        <w:t>年发表论文（著）、主持和参加的科研项目、获奖情况以及代表性成果；详细通讯地址及联系方式等。</w:t>
      </w:r>
      <w:bookmarkStart w:id="0" w:name="_GoBack"/>
      <w:bookmarkEnd w:id="0"/>
    </w:p>
    <w:sectPr>
      <w:pgSz w:w="11906" w:h="16838"/>
      <w:pgMar w:top="567"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F5"/>
    <w:rsid w:val="00021D33"/>
    <w:rsid w:val="0002406C"/>
    <w:rsid w:val="00025623"/>
    <w:rsid w:val="00033A61"/>
    <w:rsid w:val="0004533C"/>
    <w:rsid w:val="00053F14"/>
    <w:rsid w:val="000A41D3"/>
    <w:rsid w:val="000B3446"/>
    <w:rsid w:val="000B43C8"/>
    <w:rsid w:val="000B4E79"/>
    <w:rsid w:val="000E2DF0"/>
    <w:rsid w:val="000E40E4"/>
    <w:rsid w:val="000F40FE"/>
    <w:rsid w:val="00146001"/>
    <w:rsid w:val="001466D4"/>
    <w:rsid w:val="001615E4"/>
    <w:rsid w:val="00164AFB"/>
    <w:rsid w:val="001A1498"/>
    <w:rsid w:val="001B2221"/>
    <w:rsid w:val="001B754E"/>
    <w:rsid w:val="001B7931"/>
    <w:rsid w:val="001D287A"/>
    <w:rsid w:val="001D6454"/>
    <w:rsid w:val="00202F2C"/>
    <w:rsid w:val="0022052C"/>
    <w:rsid w:val="002221A5"/>
    <w:rsid w:val="00233F4C"/>
    <w:rsid w:val="00283E3A"/>
    <w:rsid w:val="002949EB"/>
    <w:rsid w:val="002C41BD"/>
    <w:rsid w:val="002D7512"/>
    <w:rsid w:val="00301E34"/>
    <w:rsid w:val="00327F98"/>
    <w:rsid w:val="00330509"/>
    <w:rsid w:val="003369A9"/>
    <w:rsid w:val="003502A9"/>
    <w:rsid w:val="00356B55"/>
    <w:rsid w:val="00366F06"/>
    <w:rsid w:val="003743D9"/>
    <w:rsid w:val="00413159"/>
    <w:rsid w:val="00453F94"/>
    <w:rsid w:val="00455082"/>
    <w:rsid w:val="00463B95"/>
    <w:rsid w:val="004733FC"/>
    <w:rsid w:val="004837CE"/>
    <w:rsid w:val="00486B8C"/>
    <w:rsid w:val="00487DEF"/>
    <w:rsid w:val="004910F9"/>
    <w:rsid w:val="00497171"/>
    <w:rsid w:val="004A2D03"/>
    <w:rsid w:val="004D7D85"/>
    <w:rsid w:val="004E595C"/>
    <w:rsid w:val="004F4AAB"/>
    <w:rsid w:val="004F56C5"/>
    <w:rsid w:val="00520AD6"/>
    <w:rsid w:val="00537139"/>
    <w:rsid w:val="00542E21"/>
    <w:rsid w:val="005535BF"/>
    <w:rsid w:val="005604C3"/>
    <w:rsid w:val="00571E55"/>
    <w:rsid w:val="0058448A"/>
    <w:rsid w:val="00585A45"/>
    <w:rsid w:val="005A0135"/>
    <w:rsid w:val="005B4817"/>
    <w:rsid w:val="005D7F3C"/>
    <w:rsid w:val="005F0855"/>
    <w:rsid w:val="0062159D"/>
    <w:rsid w:val="00625FBE"/>
    <w:rsid w:val="00630B84"/>
    <w:rsid w:val="00633244"/>
    <w:rsid w:val="0064153C"/>
    <w:rsid w:val="006504E1"/>
    <w:rsid w:val="006A1344"/>
    <w:rsid w:val="006C0551"/>
    <w:rsid w:val="006C5878"/>
    <w:rsid w:val="00732EE3"/>
    <w:rsid w:val="00735110"/>
    <w:rsid w:val="0073785B"/>
    <w:rsid w:val="00772EBE"/>
    <w:rsid w:val="00775C5F"/>
    <w:rsid w:val="0078648C"/>
    <w:rsid w:val="007D4CF5"/>
    <w:rsid w:val="00801AA4"/>
    <w:rsid w:val="00804EB8"/>
    <w:rsid w:val="008425BA"/>
    <w:rsid w:val="00861994"/>
    <w:rsid w:val="00863113"/>
    <w:rsid w:val="00896B68"/>
    <w:rsid w:val="008B1637"/>
    <w:rsid w:val="008E27EF"/>
    <w:rsid w:val="008F5E96"/>
    <w:rsid w:val="00935101"/>
    <w:rsid w:val="009638E1"/>
    <w:rsid w:val="00992B35"/>
    <w:rsid w:val="009A1931"/>
    <w:rsid w:val="009A25EC"/>
    <w:rsid w:val="009C07DA"/>
    <w:rsid w:val="009C34E8"/>
    <w:rsid w:val="009D563B"/>
    <w:rsid w:val="009F4B0D"/>
    <w:rsid w:val="00A02AA8"/>
    <w:rsid w:val="00A127B7"/>
    <w:rsid w:val="00A247C4"/>
    <w:rsid w:val="00A4142F"/>
    <w:rsid w:val="00A54D31"/>
    <w:rsid w:val="00A80E8C"/>
    <w:rsid w:val="00AA632C"/>
    <w:rsid w:val="00AC3332"/>
    <w:rsid w:val="00AC3366"/>
    <w:rsid w:val="00B04C49"/>
    <w:rsid w:val="00B07218"/>
    <w:rsid w:val="00B076DA"/>
    <w:rsid w:val="00B22B25"/>
    <w:rsid w:val="00B446D0"/>
    <w:rsid w:val="00B82C95"/>
    <w:rsid w:val="00BA133D"/>
    <w:rsid w:val="00BA2002"/>
    <w:rsid w:val="00BC22B3"/>
    <w:rsid w:val="00BF6F0B"/>
    <w:rsid w:val="00C43F7E"/>
    <w:rsid w:val="00C8338D"/>
    <w:rsid w:val="00CA1C74"/>
    <w:rsid w:val="00CC380F"/>
    <w:rsid w:val="00CC6D9A"/>
    <w:rsid w:val="00CE3B55"/>
    <w:rsid w:val="00CE6E8B"/>
    <w:rsid w:val="00CF5839"/>
    <w:rsid w:val="00D27275"/>
    <w:rsid w:val="00D915FA"/>
    <w:rsid w:val="00D96495"/>
    <w:rsid w:val="00DA7EFE"/>
    <w:rsid w:val="00E050FE"/>
    <w:rsid w:val="00E26BF8"/>
    <w:rsid w:val="00E52226"/>
    <w:rsid w:val="00E54F10"/>
    <w:rsid w:val="00E55E80"/>
    <w:rsid w:val="00E612DA"/>
    <w:rsid w:val="00EB2D74"/>
    <w:rsid w:val="00EE0A79"/>
    <w:rsid w:val="00F610D7"/>
    <w:rsid w:val="00F8468C"/>
    <w:rsid w:val="00F92F1E"/>
    <w:rsid w:val="00F96CC1"/>
    <w:rsid w:val="00FA0713"/>
    <w:rsid w:val="00FB3A9A"/>
    <w:rsid w:val="00FC6E5B"/>
    <w:rsid w:val="00FD2260"/>
    <w:rsid w:val="00FE7A34"/>
    <w:rsid w:val="05D07CEA"/>
    <w:rsid w:val="095F13EB"/>
    <w:rsid w:val="10482BD9"/>
    <w:rsid w:val="18EE4736"/>
    <w:rsid w:val="191F35DE"/>
    <w:rsid w:val="1D4B0657"/>
    <w:rsid w:val="237A70F6"/>
    <w:rsid w:val="24997A50"/>
    <w:rsid w:val="26484B7D"/>
    <w:rsid w:val="2695236D"/>
    <w:rsid w:val="2BE722A4"/>
    <w:rsid w:val="2C7A768B"/>
    <w:rsid w:val="320264E9"/>
    <w:rsid w:val="32570B63"/>
    <w:rsid w:val="348547F0"/>
    <w:rsid w:val="38AF451F"/>
    <w:rsid w:val="3A1B150C"/>
    <w:rsid w:val="3C7A1046"/>
    <w:rsid w:val="3FDC7066"/>
    <w:rsid w:val="51976164"/>
    <w:rsid w:val="5D684769"/>
    <w:rsid w:val="60115669"/>
    <w:rsid w:val="64672FDA"/>
    <w:rsid w:val="73186C86"/>
    <w:rsid w:val="79325A3E"/>
    <w:rsid w:val="79894B12"/>
    <w:rsid w:val="7F0A40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240"/>
      <w:jc w:val="left"/>
    </w:pPr>
    <w:rPr>
      <w:rFonts w:ascii="宋体" w:hAnsi="宋体" w:cs="宋体"/>
      <w:kern w:val="0"/>
      <w:sz w:val="24"/>
      <w:szCs w:val="24"/>
    </w:rPr>
  </w:style>
  <w:style w:type="character" w:styleId="8">
    <w:name w:val="FollowedHyperlink"/>
    <w:basedOn w:val="7"/>
    <w:semiHidden/>
    <w:qFormat/>
    <w:uiPriority w:val="99"/>
    <w:rPr>
      <w:rFonts w:cs="Times New Roman"/>
      <w:color w:val="800080"/>
      <w:u w:val="single"/>
    </w:rPr>
  </w:style>
  <w:style w:type="character" w:styleId="9">
    <w:name w:val="Hyperlink"/>
    <w:basedOn w:val="7"/>
    <w:qFormat/>
    <w:uiPriority w:val="99"/>
    <w:rPr>
      <w:rFonts w:cs="Times New Roman"/>
      <w:color w:val="0000FF"/>
      <w:u w:val="single"/>
    </w:rPr>
  </w:style>
  <w:style w:type="paragraph" w:customStyle="1" w:styleId="10">
    <w:name w:val="p"/>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16"/>
    <w:basedOn w:val="7"/>
    <w:qFormat/>
    <w:uiPriority w:val="99"/>
    <w:rPr>
      <w:rFonts w:cs="Times New Roman"/>
    </w:rPr>
  </w:style>
  <w:style w:type="character" w:customStyle="1" w:styleId="12">
    <w:name w:val="页眉 字符"/>
    <w:basedOn w:val="7"/>
    <w:link w:val="4"/>
    <w:semiHidden/>
    <w:qFormat/>
    <w:locked/>
    <w:uiPriority w:val="99"/>
    <w:rPr>
      <w:rFonts w:cs="Times New Roman"/>
      <w:sz w:val="18"/>
      <w:szCs w:val="18"/>
    </w:rPr>
  </w:style>
  <w:style w:type="character" w:customStyle="1" w:styleId="13">
    <w:name w:val="页脚 字符"/>
    <w:basedOn w:val="7"/>
    <w:link w:val="3"/>
    <w:semiHidden/>
    <w:qFormat/>
    <w:locked/>
    <w:uiPriority w:val="99"/>
    <w:rPr>
      <w:rFonts w:cs="Times New Roman"/>
      <w:sz w:val="18"/>
      <w:szCs w:val="18"/>
    </w:rPr>
  </w:style>
  <w:style w:type="character" w:customStyle="1" w:styleId="14">
    <w:name w:val="批注框文本 字符"/>
    <w:basedOn w:val="7"/>
    <w:link w:val="2"/>
    <w:semiHidden/>
    <w:qFormat/>
    <w:uiPriority w:val="99"/>
    <w:rPr>
      <w:kern w:val="2"/>
      <w:sz w:val="18"/>
      <w:szCs w:val="18"/>
    </w:rPr>
  </w:style>
  <w:style w:type="character" w:customStyle="1" w:styleId="15">
    <w:name w:val="unnamed11"/>
    <w:basedOn w:val="7"/>
    <w:qFormat/>
    <w:uiPriority w:val="0"/>
  </w:style>
  <w:style w:type="paragraph" w:styleId="16">
    <w:name w:val="List Paragraph"/>
    <w:basedOn w:val="1"/>
    <w:qFormat/>
    <w:uiPriority w:val="34"/>
    <w:pPr>
      <w:ind w:firstLine="420" w:firstLineChars="200"/>
    </w:pPr>
  </w:style>
  <w:style w:type="paragraph" w:customStyle="1" w:styleId="17">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7838E-B778-4BB5-8B24-86BE0DC0A46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2115</Words>
  <Characters>2346</Characters>
  <Lines>18</Lines>
  <Paragraphs>5</Paragraphs>
  <TotalTime>11</TotalTime>
  <ScaleCrop>false</ScaleCrop>
  <LinksUpToDate>false</LinksUpToDate>
  <CharactersWithSpaces>2350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2022-03-26T13:07:00Z</dcterms:created>
  <dc:creator>Microsoft</dc:creator>
  <cp:lastModifiedBy>Administrator</cp:lastModifiedBy>
  <cp:lastPrinted>2022-03-07T09:04:00Z</cp:lastPrinted>
  <dcterms:modified xsi:type="dcterms:W3CDTF">2022-03-26T13:27:02Z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BF6A2B8514CC4DAFA8633BFAF22EA5B7</vt:lpwstr>
  </property>
</Properties>
</file>